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广西壮族自治区药品监督管理局</w:t>
      </w:r>
    </w:p>
    <w:p>
      <w:pPr>
        <w:jc w:val="center"/>
        <w:rPr>
          <w:rFonts w:hint="eastAsia"/>
          <w:color w:val="000000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行政处罚决定书</w:t>
      </w:r>
    </w:p>
    <w:p>
      <w:pPr>
        <w:wordWrap w:val="0"/>
        <w:spacing w:line="560" w:lineRule="exact"/>
        <w:jc w:val="right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jc w:val="right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河分械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罚〔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号</w:t>
      </w:r>
    </w:p>
    <w:p>
      <w:pPr>
        <w:spacing w:line="240" w:lineRule="exact"/>
        <w:jc w:val="both"/>
        <w:rPr>
          <w:rFonts w:hint="eastAsia"/>
          <w:color w:val="000000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4440"/>
          <w:tab w:val="left" w:pos="8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4440"/>
          <w:tab w:val="left" w:pos="8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</w:pPr>
      <w:r>
        <w:rPr>
          <w:rFonts w:hint="eastAsia" w:ascii="Times New Roman" w:eastAsia="仿宋_GB2312" w:cs="Times New Roman"/>
          <w:color w:val="00000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当事人：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河池市立超齿科技术有限公司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 xml:space="preserve">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440"/>
          <w:tab w:val="left" w:pos="8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</w:pPr>
      <w:r>
        <w:rPr>
          <w:rFonts w:hint="eastAsia" w:ascii="Times New Roman" w:eastAsia="仿宋_GB2312" w:cs="Times New Roman"/>
          <w:color w:val="000000"/>
          <w:u w:val="none" w:color="auto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>主体资格证照名称：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营业执照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 xml:space="preserve">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440"/>
          <w:tab w:val="left" w:pos="8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</w:pPr>
      <w:r>
        <w:rPr>
          <w:rFonts w:hint="eastAsia" w:ascii="Times New Roman" w:eastAsia="仿宋_GB2312" w:cs="Times New Roman"/>
          <w:color w:val="000000"/>
          <w:u w:val="none" w:color="auto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>统一社会信用代码：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91451281MA5MU5GL7N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440"/>
          <w:tab w:val="left" w:pos="8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</w:pPr>
      <w:r>
        <w:rPr>
          <w:rFonts w:hint="eastAsia" w:ascii="Times New Roman" w:eastAsia="仿宋_GB2312" w:cs="Times New Roman"/>
          <w:color w:val="000000"/>
          <w:u w:val="none" w:color="auto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>住所：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宜州区庆远镇沙岭社区高家甫屯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 xml:space="preserve">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440"/>
          <w:tab w:val="left" w:pos="8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u w:val="single" w:color="231F20"/>
          <w:lang w:eastAsia="zh-CN" w:bidi="ar-SA"/>
        </w:rPr>
      </w:pPr>
      <w:r>
        <w:rPr>
          <w:rFonts w:hint="eastAsia" w:ascii="Times New Roman" w:eastAsia="仿宋_GB2312" w:cs="Times New Roman"/>
          <w:color w:val="000000"/>
          <w:u w:val="none" w:color="auto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>法定代表人：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韦永钊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u w:val="none" w:color="auto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3月18日-19日，我局执法人员对河池市立超齿科技有限公司进行检查，发现当事人旧的定制式活动义齿《医疗器械注册证》（注册证编号：桂械注准20192170104）有效期至2024年08月04日、定制式固定义齿《医疗器械注册证》（注册证编号：桂械注准20192170105）有效期至2024年08月04日，新的定制式活动义齿《医疗器械注册证》（注册证编号：桂械注准20192170104、批准日期：2024年09月06日、有效期：2029年09月05日）、定制式固定义齿《医疗器械注册证》（注册证编号：桂械注准20192170105）、批准日期：2024年11月01日、有效期：2029年10月31日）。当事人于2024年08月05日至09月05日期间未取得《医疗器械注册证》情况下仍生产定制式活动义齿和2024年08月05日至10月31日期间未取得《医疗器械注册证》情况下仍生产定制式固定义齿活动。现场检查时，当事人生产的定制式活动义齿和固定义齿均已销售完。执法人员现场制作现场检查笔录，对法定代表人兼管理者代表韦永钊、办公室综合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、生产车间负责人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进行调查询问并记录。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当事人《医疗器械注册证》过期仍生产医疗器械活动，属于无医疗器械注册证生产医疗器械行为，违反了《医疗器械监督管理条例》第十三条第一款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第一类医疗器械实行产品备案管理，第二类、第三类医疗器械实行产品注册管理。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的规定，我局于 2025 年3月26日以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涉嫌未取得医疗器械注册证进行生产医疗器械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对当事人予以立案调查。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经查，当事人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于2024年08月05日到2024年10月31日期间生产销售定制式活动义齿、固定义齿共38批次，已全部销售完，38批次医疗器械货值金额为8245.00元，销售收入为8245.00元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《医疗器械生产许可证》《营业执照》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证明当事人具备合法的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《医疗器械注册证》（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注册证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编号：桂械注准20192170104）、《医疗器械注册证》（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注册证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编号：桂械注准：20192170105）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《医疗器械注册证》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限。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</w:rPr>
        <w:t>义齿委托加工单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》《电脑设计单》《河池市立超齿科技术有限公司销售单》《河池市立超齿科技术有限公司领料单》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证明当事人生产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涉案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医疗器械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的情况、事实，以及该批次产品的数量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《现场笔录》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份、《询问笔录》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证明办案人员收集证据和对当事人进行检查、询问调查情况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.《</w:t>
      </w:r>
      <w:r>
        <w:rPr>
          <w:rFonts w:hint="eastAsia" w:eastAsia="仿宋_GB2312" w:cs="Times New Roman"/>
          <w:color w:val="auto"/>
          <w:spacing w:val="14"/>
          <w:sz w:val="32"/>
          <w:szCs w:val="32"/>
          <w:lang w:val="en-US" w:eastAsia="zh-CN"/>
        </w:rPr>
        <w:t>*******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</w:rPr>
        <w:t>诊所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》《</w:t>
      </w:r>
      <w:r>
        <w:rPr>
          <w:rFonts w:hint="eastAsia" w:eastAsia="仿宋_GB2312" w:cs="Times New Roman"/>
          <w:color w:val="auto"/>
          <w:spacing w:val="14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</w:rPr>
        <w:t>诊所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》《</w:t>
      </w:r>
      <w:r>
        <w:rPr>
          <w:rFonts w:hint="eastAsia" w:eastAsia="仿宋_GB2312" w:cs="Times New Roman"/>
          <w:color w:val="auto"/>
          <w:spacing w:val="14"/>
          <w:sz w:val="32"/>
          <w:szCs w:val="32"/>
          <w:lang w:val="en-US" w:eastAsia="zh-CN"/>
        </w:rPr>
        <w:t>******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</w:rPr>
        <w:t>诊所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《现场笔录》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《询问笔录》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份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涉案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医疗器械流向及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办案人员收集证据和对当事人进行检查、询问调查情况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6.当事人《关于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2024年08月0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11月01日期间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lang w:eastAsia="zh-CN"/>
        </w:rPr>
        <w:t>生产销售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lang w:eastAsia="zh-CN"/>
        </w:rPr>
        <w:t>义齿情况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lang w:val="en-US" w:eastAsia="zh-CN"/>
        </w:rPr>
        <w:t>说明》</w:t>
      </w:r>
      <w:r>
        <w:rPr>
          <w:rFonts w:hint="eastAsia" w:eastAsia="仿宋_GB2312" w:cs="Times New Roman"/>
          <w:color w:val="auto"/>
          <w:spacing w:val="14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lang w:val="en-US" w:eastAsia="zh-CN"/>
        </w:rPr>
        <w:t>说明当事人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涉案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医疗器械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的情况、事实，以及该批次产品的数量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法定代表人兼管理者代表韦永钊、办公室综合岗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、生产车间负责人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证明当事人合法身份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我局于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广西壮族自治区药品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监督管理局行政处罚告知书》(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告〔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号)送达给当事人，告知其拟作出行政处罚决定的事实、理由、依据及处罚内容，并告知当事人依法享有陈述、申辩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听证申请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权利。当事人在法定期限内未提出陈述、申辩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听证申请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在本案中，当事人积极配合执法人员的调查，如实提供相关材料，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启动召回程序，截止调查终结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lang w:val="en-US" w:eastAsia="zh-CN"/>
        </w:rPr>
        <w:t>未能召回涉案产品，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我局和当事人均未收到涉案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医疗器械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产生不良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事件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和造成危害后果的报告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</w:t>
      </w:r>
      <w:r>
        <w:rPr>
          <w:rFonts w:hint="default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未取得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《</w:t>
      </w:r>
      <w:r>
        <w:rPr>
          <w:rFonts w:hint="default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医疗器械注册证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》</w:t>
      </w:r>
      <w:r>
        <w:rPr>
          <w:rFonts w:hint="default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生产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销售</w:t>
      </w:r>
      <w:r>
        <w:rPr>
          <w:rFonts w:hint="default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医疗器械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 w:bidi="ar-SA"/>
        </w:rPr>
        <w:t>的行为，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违反了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《医疗器械监督管理条例》第十三条第一款的规定，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依据《中华人民共和国行政处罚法》第二十八条的规定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责令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立即改正上述违法行为，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并依据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《医疗器械监督管理条例》第八十一条第一款第一项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给予以下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行政处罚：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1.没收违法所得8245.00元（捌仟贰佰肆拾伍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圆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2.并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处罚款100000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元（壹拾万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圆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）。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以上罚没款合计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108245.00元（壹拾万捌仟贰佰肆拾伍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圆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当事人应当自收到本行政处罚决定书之日起15日内，将罚没款缴到国库账户。该款请到南宁市怡宾路6号自治区药品监督管理局政务窗口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号窗办理，如你公司不便前来，可由窗口工作人员预录信息，形成电子缴费二维码后发给当事人缴款(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自治区药品监督管理局政务服务窗口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联系电话:0771-5511163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当事人逾期不缴纳罚款的，根据《中华人民共和国行政处罚法》第七十二条第一款第一项、第四项的规定，我局可以每日按罚款数额的3%加处罚款，并将依法申请人民法院强制执行。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如不服本行政处罚决定，可以在收到本处罚决定书之日起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60日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内向自治区人民政府申请行政复议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或者6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个月内向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依法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南宁铁路运输法院提起行政诉讼。</w:t>
      </w:r>
    </w:p>
    <w:p>
      <w:pPr>
        <w:wordWrap w:val="0"/>
        <w:spacing w:line="540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wordWrap w:val="0"/>
        <w:spacing w:line="540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2"/>
        <w:wordWrap/>
        <w:rPr>
          <w:rFonts w:hint="default"/>
          <w:lang w:eastAsia="zh-CN"/>
        </w:rPr>
      </w:pPr>
    </w:p>
    <w:p>
      <w:pPr>
        <w:wordWrap w:val="0"/>
        <w:spacing w:line="540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广西壮族自治区药品监督管理局    </w:t>
      </w:r>
    </w:p>
    <w:p>
      <w:pPr>
        <w:pStyle w:val="5"/>
        <w:tabs>
          <w:tab w:val="left" w:pos="5003"/>
          <w:tab w:val="left" w:pos="5963"/>
        </w:tabs>
        <w:wordWrap w:val="0"/>
        <w:spacing w:line="540" w:lineRule="exact"/>
        <w:ind w:left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_GB2312" w:cs="Times New Roman"/>
          <w:color w:val="000000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年</w:t>
      </w:r>
      <w:r>
        <w:rPr>
          <w:rFonts w:hint="eastAsia" w:ascii="Times New Roman" w:eastAsia="仿宋_GB2312" w:cs="Times New Roman"/>
          <w:color w:val="00000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月</w:t>
      </w:r>
      <w:r>
        <w:rPr>
          <w:rFonts w:hint="eastAsia" w:ascii="Times New Roman" w:eastAsia="仿宋_GB2312" w:cs="Times New Roman"/>
          <w:color w:val="00000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 xml:space="preserve">日       </w:t>
      </w:r>
    </w:p>
    <w:p>
      <w:pPr>
        <w:pStyle w:val="5"/>
        <w:spacing w:line="590" w:lineRule="exact"/>
        <w:ind w:left="0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4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pStyle w:val="4"/>
        <w:rPr>
          <w:rFonts w:hint="default" w:ascii="Times New Roman" w:hAnsi="Times New Roman" w:eastAsia="黑体" w:cs="Times New Roman"/>
          <w:color w:val="000000"/>
          <w:spacing w:val="-5"/>
          <w:lang w:eastAsia="zh-CN" w:bidi="ar-SA"/>
        </w:rPr>
      </w:pPr>
    </w:p>
    <w:p>
      <w:pPr>
        <w:widowControl/>
        <w:suppressAutoHyphens/>
        <w:spacing w:line="520" w:lineRule="exact"/>
        <w:ind w:firstLine="620" w:firstLineChars="200"/>
        <w:jc w:val="left"/>
        <w:rPr>
          <w:rFonts w:hint="eastAsia" w:ascii="方正黑体_GBK" w:hAnsi="楷体_GB2312" w:eastAsia="方正黑体_GBK" w:cs="楷体_GB2312"/>
          <w:b/>
          <w:color w:val="231F20"/>
          <w:kern w:val="0"/>
          <w:sz w:val="31"/>
          <w:szCs w:val="31"/>
          <w:lang w:eastAsia="zh-CN" w:bidi="ar"/>
        </w:rPr>
      </w:pPr>
      <w:r>
        <w:rPr>
          <w:rFonts w:hint="eastAsia" w:ascii="方正黑体_GBK" w:hAnsi="宋体" w:eastAsia="方正黑体_GBK" w:cs="黑体"/>
          <w:color w:val="231F20"/>
          <w:kern w:val="0"/>
          <w:sz w:val="31"/>
          <w:szCs w:val="31"/>
          <w:lang w:eastAsia="zh-CN" w:bidi="ar"/>
        </w:rPr>
        <w:t>（药品监督管理部门将依法向社会公示本行政处罚决定信息，当事人可以依法申请提前停止公示该行政处罚信息。）</w:t>
      </w:r>
    </w:p>
    <w:p>
      <w:pPr>
        <w:suppressAutoHyphens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u w:val="single"/>
          <w:lang w:eastAsia="zh-CN"/>
        </w:rPr>
        <w:t xml:space="preserve">                                                  </w:t>
      </w:r>
    </w:p>
    <w:p>
      <w:pPr>
        <w:suppressAutoHyphens/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本文书一式三份，一份送达，一份归档，一份办案机构留存。</w:t>
      </w:r>
    </w:p>
    <w:sectPr>
      <w:pgSz w:w="11906" w:h="16838"/>
      <w:pgMar w:top="1270" w:right="1361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5D29"/>
    <w:rsid w:val="0CF40D42"/>
    <w:rsid w:val="10E30C6B"/>
    <w:rsid w:val="1DFA453E"/>
    <w:rsid w:val="228C35E8"/>
    <w:rsid w:val="23290CD7"/>
    <w:rsid w:val="268979D3"/>
    <w:rsid w:val="291D7050"/>
    <w:rsid w:val="3F8D0A6B"/>
    <w:rsid w:val="41C757A4"/>
    <w:rsid w:val="4C1924CA"/>
    <w:rsid w:val="4CEE0546"/>
    <w:rsid w:val="5CFDA1DA"/>
    <w:rsid w:val="5E711F17"/>
    <w:rsid w:val="5E845D29"/>
    <w:rsid w:val="63987103"/>
    <w:rsid w:val="6CFD195A"/>
    <w:rsid w:val="795D6893"/>
    <w:rsid w:val="BFFFD1C6"/>
    <w:rsid w:val="EB5DAE47"/>
    <w:rsid w:val="FF9FB8D3"/>
    <w:rsid w:val="FF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5">
    <w:name w:val="Body Text"/>
    <w:basedOn w:val="1"/>
    <w:next w:val="4"/>
    <w:qFormat/>
    <w:uiPriority w:val="0"/>
    <w:pPr>
      <w:widowControl w:val="0"/>
      <w:ind w:left="220"/>
    </w:pPr>
    <w:rPr>
      <w:rFonts w:ascii="宋体" w:hAnsi="Times New Roman" w:eastAsia="宋体" w:cs="Times New Roman"/>
      <w:sz w:val="32"/>
      <w:szCs w:val="32"/>
      <w:lang w:val="en-US" w:eastAsia="en-US" w:bidi="ar-SA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0">
    <w:name w:val="2文本"/>
    <w:next w:val="3"/>
    <w:qFormat/>
    <w:uiPriority w:val="0"/>
    <w:pPr>
      <w:widowControl w:val="0"/>
      <w:suppressAutoHyphens/>
      <w:ind w:firstLine="200"/>
      <w:jc w:val="both"/>
    </w:pPr>
    <w:rPr>
      <w:rFonts w:ascii="Times New Roman" w:hAnsi="Times New Roman" w:eastAsia="宋体" w:cs="Times New Roman"/>
      <w:color w:val="000000"/>
      <w:kern w:val="2"/>
      <w:sz w:val="20"/>
      <w:szCs w:val="20"/>
      <w:lang w:val="en-US" w:eastAsia="zh-CN" w:bidi="ar-SA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2037</Words>
  <Characters>2310</Characters>
  <Lines>0</Lines>
  <Paragraphs>0</Paragraphs>
  <TotalTime>13</TotalTime>
  <ScaleCrop>false</ScaleCrop>
  <LinksUpToDate>false</LinksUpToDate>
  <CharactersWithSpaces>2649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2025-05-28T19:26:00Z</dcterms:created>
  <dc:creator>Administrator</dc:creator>
  <cp:lastModifiedBy>淡影</cp:lastModifiedBy>
  <dcterms:modified xsi:type="dcterms:W3CDTF">2025-06-11T09:19:47Z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2CC5DE6E5835A56A9BC83E686A88CDFC</vt:lpwstr>
  </property>
  <property fmtid="{D5CDD505-2E9C-101B-9397-08002B2CF9AE}" pid="4" name="KSOTemplateDocerSaveRecord">
    <vt:lpwstr>eyJoZGlkIjoiZjgxNmIyOGM3ZmI2MzNkMjY5NjZhYzljOGU4MGVmYzQiLCJ1c2VySWQiOiI3NDUxMTc2NTAifQ==</vt:lpwstr>
  </property>
</Properties>
</file>